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0"/>
        <w:jc w:val="center"/>
      </w:pPr>
      <w:r>
        <w:rPr>
          <w:b/>
          <w:color w:val="806000"/>
          <w:sz w:val="24"/>
        </w:rPr>
        <w:t>AI EXECUTIVE GOVERNANCE TOOLKIT</w:t>
      </w:r>
    </w:p>
    <w:p>
      <w:pPr>
        <w:pStyle w:val="Title"/>
        <w:jc w:val="center"/>
      </w:pPr>
      <w:r>
        <w:t>AI Incident &amp; Escalation Procedure</w:t>
      </w:r>
    </w:p>
    <w:p>
      <w:pPr>
        <w:jc w:val="center"/>
      </w:pPr>
      <w:r>
        <w:rPr>
          <w:i/>
          <w:sz w:val="26"/>
        </w:rPr>
        <w:t>Executive procedure for detecting, containing, escalating, investigating and learning from AI incidents</w:t>
      </w:r>
    </w:p>
    <w:tbl>
      <w:tblPr>
        <w:tblStyle w:val="TableGrid"/>
        <w:tblW w:type="auto" w:w="0"/>
        <w:jc w:val="center"/>
        <w:tblLook w:firstColumn="1" w:firstRow="1" w:lastColumn="0" w:lastRow="0" w:noHBand="0" w:noVBand="1" w:val="04A0"/>
      </w:tblPr>
      <w:tblGrid>
        <w:gridCol w:w="5083"/>
        <w:gridCol w:w="5083"/>
      </w:tblGrid>
      <w:tr>
        <w:tc>
          <w:tcPr>
            <w:tcW w:type="dxa" w:w="5083"/>
            <w:shd w:fill="17365D"/>
          </w:tcPr>
          <w:p>
            <w:r/>
            <w:r>
              <w:rPr>
                <w:rFonts w:ascii="Aptos" w:hAnsi="Aptos"/>
                <w:b/>
                <w:color w:val="FFFFFF"/>
                <w:sz w:val="18"/>
              </w:rPr>
              <w:t>Document Control</w:t>
            </w:r>
          </w:p>
        </w:tc>
        <w:tc>
          <w:tcPr>
            <w:tcW w:type="dxa" w:w="5083"/>
            <w:shd w:fill="17365D"/>
          </w:tcPr>
          <w:p>
            <w:r/>
            <w:r>
              <w:rPr>
                <w:rFonts w:ascii="Aptos" w:hAnsi="Aptos"/>
                <w:b/>
                <w:color w:val="FFFFFF"/>
                <w:sz w:val="18"/>
              </w:rPr>
              <w:t>Details</w:t>
            </w:r>
          </w:p>
        </w:tc>
      </w:tr>
      <w:tr>
        <w:tc>
          <w:tcPr>
            <w:tcW w:type="dxa" w:w="5083"/>
          </w:tcPr>
          <w:p>
            <w:r/>
            <w:r>
              <w:rPr>
                <w:rFonts w:ascii="Aptos" w:hAnsi="Aptos"/>
                <w:b/>
                <w:sz w:val="18"/>
              </w:rPr>
              <w:t>Organisation</w:t>
            </w:r>
          </w:p>
        </w:tc>
        <w:tc>
          <w:tcPr>
            <w:tcW w:type="dxa" w:w="5083"/>
          </w:tcPr>
          <w:p>
            <w:r/>
            <w:r>
              <w:rPr>
                <w:rFonts w:ascii="Aptos" w:hAnsi="Aptos"/>
                <w:b w:val="0"/>
                <w:sz w:val="18"/>
              </w:rPr>
              <w:t>[Insert organisation name]</w:t>
            </w:r>
          </w:p>
        </w:tc>
      </w:tr>
      <w:tr>
        <w:tc>
          <w:tcPr>
            <w:tcW w:type="dxa" w:w="5083"/>
          </w:tcPr>
          <w:p>
            <w:r/>
            <w:r>
              <w:rPr>
                <w:rFonts w:ascii="Aptos" w:hAnsi="Aptos"/>
                <w:b/>
                <w:sz w:val="18"/>
              </w:rPr>
              <w:t>Procedure Owner</w:t>
            </w:r>
          </w:p>
        </w:tc>
        <w:tc>
          <w:tcPr>
            <w:tcW w:type="dxa" w:w="5083"/>
          </w:tcPr>
          <w:p>
            <w:r/>
            <w:r>
              <w:rPr>
                <w:rFonts w:ascii="Aptos" w:hAnsi="Aptos"/>
                <w:b w:val="0"/>
                <w:sz w:val="18"/>
              </w:rPr>
              <w:t>[Insert role/name]</w:t>
            </w:r>
          </w:p>
        </w:tc>
      </w:tr>
      <w:tr>
        <w:tc>
          <w:tcPr>
            <w:tcW w:type="dxa" w:w="5083"/>
          </w:tcPr>
          <w:p>
            <w:r/>
            <w:r>
              <w:rPr>
                <w:rFonts w:ascii="Aptos" w:hAnsi="Aptos"/>
                <w:b/>
                <w:sz w:val="18"/>
              </w:rPr>
              <w:t>Approved By</w:t>
            </w:r>
          </w:p>
        </w:tc>
        <w:tc>
          <w:tcPr>
            <w:tcW w:type="dxa" w:w="5083"/>
          </w:tcPr>
          <w:p>
            <w:r/>
            <w:r>
              <w:rPr>
                <w:rFonts w:ascii="Aptos" w:hAnsi="Aptos"/>
                <w:b w:val="0"/>
                <w:sz w:val="18"/>
              </w:rPr>
              <w:t>[Insert approving body]</w:t>
            </w:r>
          </w:p>
        </w:tc>
      </w:tr>
      <w:tr>
        <w:tc>
          <w:tcPr>
            <w:tcW w:type="dxa" w:w="5083"/>
          </w:tcPr>
          <w:p>
            <w:r/>
            <w:r>
              <w:rPr>
                <w:rFonts w:ascii="Aptos" w:hAnsi="Aptos"/>
                <w:b/>
                <w:sz w:val="18"/>
              </w:rPr>
              <w:t>Effective Date</w:t>
            </w:r>
          </w:p>
        </w:tc>
        <w:tc>
          <w:tcPr>
            <w:tcW w:type="dxa" w:w="5083"/>
          </w:tcPr>
          <w:p>
            <w:r/>
            <w:r>
              <w:rPr>
                <w:rFonts w:ascii="Aptos" w:hAnsi="Aptos"/>
                <w:b w:val="0"/>
                <w:sz w:val="18"/>
              </w:rPr>
              <w:t>[Insert date]</w:t>
            </w:r>
          </w:p>
        </w:tc>
      </w:tr>
      <w:tr>
        <w:tc>
          <w:tcPr>
            <w:tcW w:type="dxa" w:w="5083"/>
          </w:tcPr>
          <w:p>
            <w:r/>
            <w:r>
              <w:rPr>
                <w:rFonts w:ascii="Aptos" w:hAnsi="Aptos"/>
                <w:b/>
                <w:sz w:val="18"/>
              </w:rPr>
              <w:t>Review Date</w:t>
            </w:r>
          </w:p>
        </w:tc>
        <w:tc>
          <w:tcPr>
            <w:tcW w:type="dxa" w:w="5083"/>
          </w:tcPr>
          <w:p>
            <w:r/>
            <w:r>
              <w:rPr>
                <w:rFonts w:ascii="Aptos" w:hAnsi="Aptos"/>
                <w:b w:val="0"/>
                <w:sz w:val="18"/>
              </w:rPr>
              <w:t>[Insert date]</w:t>
            </w:r>
          </w:p>
        </w:tc>
      </w:tr>
    </w:tbl>
    <w:p>
      <w:r>
        <w:br w:type="page"/>
      </w:r>
    </w:p>
    <w:p>
      <w:pPr>
        <w:pStyle w:val="Heading1"/>
      </w:pPr>
      <w:r>
        <w:t>1. Purpose</w:t>
      </w:r>
    </w:p>
    <w:p>
      <w:pPr>
        <w:spacing w:after="100"/>
      </w:pPr>
      <w:r>
        <w:t>This procedure defines how the organisation should respond when an AI system behaves unexpectedly, causes or could cause harm, exceeds its authorised boundaries, exposes information, produces materially incorrect outcomes, or creates a security, regulatory, operational or reputational concern.</w:t>
      </w:r>
    </w:p>
    <w:p>
      <w:pPr>
        <w:spacing w:after="100"/>
      </w:pPr>
      <w:r>
        <w:t>The objective is rapid containment, clear accountability, proportionate escalation, preservation of evidence, safe recovery and continuous improvement.</w:t>
      </w:r>
    </w:p>
    <w:p>
      <w:pPr>
        <w:pStyle w:val="Heading1"/>
      </w:pPr>
      <w:r>
        <w:t>2. What Counts as an AI Incident?</w:t>
      </w:r>
    </w:p>
    <w:p>
      <w:pPr>
        <w:pStyle w:val="ListBullet"/>
        <w:spacing w:after="60"/>
      </w:pPr>
      <w:r>
        <w:t>Disclosure or suspected disclosure of confidential, personal or regulated information.</w:t>
      </w:r>
    </w:p>
    <w:p>
      <w:pPr>
        <w:pStyle w:val="ListBullet"/>
        <w:spacing w:after="60"/>
      </w:pPr>
      <w:r>
        <w:t>AI output that materially misleads a customer, employee, executive or decision-maker.</w:t>
      </w:r>
    </w:p>
    <w:p>
      <w:pPr>
        <w:pStyle w:val="ListBullet"/>
        <w:spacing w:after="60"/>
      </w:pPr>
      <w:r>
        <w:t>Unauthorised or unexpected actions by an AI agent or automated workflow.</w:t>
      </w:r>
    </w:p>
    <w:p>
      <w:pPr>
        <w:pStyle w:val="ListBullet"/>
        <w:spacing w:after="60"/>
      </w:pPr>
      <w:r>
        <w:t>An AI system exceeding permissions, transaction limits, approved tools or operating boundaries.</w:t>
      </w:r>
    </w:p>
    <w:p>
      <w:pPr>
        <w:pStyle w:val="ListBullet"/>
        <w:spacing w:after="60"/>
      </w:pPr>
      <w:r>
        <w:t>Material bias, discrimination or unfair outcomes.</w:t>
      </w:r>
    </w:p>
    <w:p>
      <w:pPr>
        <w:pStyle w:val="ListBullet"/>
        <w:spacing w:after="60"/>
      </w:pPr>
      <w:r>
        <w:t>Prompt injection, malicious input, model manipulation or adversarial exploitation.</w:t>
      </w:r>
    </w:p>
    <w:p>
      <w:pPr>
        <w:pStyle w:val="ListBullet"/>
        <w:spacing w:after="60"/>
      </w:pPr>
      <w:r>
        <w:t>Security vulnerabilities, credential exposure, abnormal access or attempted lateral movement.</w:t>
      </w:r>
    </w:p>
    <w:p>
      <w:pPr>
        <w:pStyle w:val="ListBullet"/>
        <w:spacing w:after="60"/>
      </w:pPr>
      <w:r>
        <w:t>Failure of required human review, approval or intervention controls.</w:t>
      </w:r>
    </w:p>
    <w:p>
      <w:pPr>
        <w:pStyle w:val="ListBullet"/>
        <w:spacing w:after="60"/>
      </w:pPr>
      <w:r>
        <w:t>Material service failure, model degradation or unexpected vendor/model behaviour.</w:t>
      </w:r>
    </w:p>
    <w:p>
      <w:pPr>
        <w:pStyle w:val="ListBullet"/>
        <w:spacing w:after="60"/>
      </w:pPr>
      <w:r>
        <w:t>Use of an unapproved AI tool or prohibited data in an AI service.</w:t>
      </w:r>
    </w:p>
    <w:p>
      <w:pPr>
        <w:pStyle w:val="ListBullet"/>
        <w:spacing w:after="60"/>
      </w:pPr>
      <w:r>
        <w:t>Any AI event likely to create legal, regulatory, customer, financial, safety or reputational harm.</w:t>
      </w:r>
    </w:p>
    <w:p>
      <w:pPr>
        <w:pStyle w:val="Heading1"/>
      </w:pPr>
      <w:r>
        <w:t>3. Incident Severity Classification</w:t>
      </w:r>
    </w:p>
    <w:tbl>
      <w:tblPr>
        <w:tblStyle w:val="TableGrid"/>
        <w:tblW w:type="auto" w:w="0"/>
        <w:jc w:val="center"/>
        <w:tblLook w:firstColumn="1" w:firstRow="1" w:lastColumn="0" w:lastRow="0" w:noHBand="0" w:noVBand="1" w:val="04A0"/>
      </w:tblPr>
      <w:tblGrid>
        <w:gridCol w:w="2033"/>
        <w:gridCol w:w="2033"/>
        <w:gridCol w:w="2033"/>
        <w:gridCol w:w="2033"/>
        <w:gridCol w:w="2033"/>
      </w:tblGrid>
      <w:tr>
        <w:tc>
          <w:tcPr>
            <w:tcW w:type="dxa" w:w="2033"/>
            <w:shd w:fill="17365D"/>
          </w:tcPr>
          <w:p>
            <w:r/>
            <w:r>
              <w:rPr>
                <w:rFonts w:ascii="Aptos" w:hAnsi="Aptos"/>
                <w:b/>
                <w:color w:val="FFFFFF"/>
                <w:sz w:val="18"/>
              </w:rPr>
              <w:t>Level</w:t>
            </w:r>
          </w:p>
        </w:tc>
        <w:tc>
          <w:tcPr>
            <w:tcW w:type="dxa" w:w="2033"/>
            <w:shd w:fill="17365D"/>
          </w:tcPr>
          <w:p>
            <w:r/>
            <w:r>
              <w:rPr>
                <w:rFonts w:ascii="Aptos" w:hAnsi="Aptos"/>
                <w:b/>
                <w:color w:val="FFFFFF"/>
                <w:sz w:val="18"/>
              </w:rPr>
              <w:t>Severity</w:t>
            </w:r>
          </w:p>
        </w:tc>
        <w:tc>
          <w:tcPr>
            <w:tcW w:type="dxa" w:w="2033"/>
            <w:shd w:fill="17365D"/>
          </w:tcPr>
          <w:p>
            <w:r/>
            <w:r>
              <w:rPr>
                <w:rFonts w:ascii="Aptos" w:hAnsi="Aptos"/>
                <w:b/>
                <w:color w:val="FFFFFF"/>
                <w:sz w:val="18"/>
              </w:rPr>
              <w:t>Typical Indicators</w:t>
            </w:r>
          </w:p>
        </w:tc>
        <w:tc>
          <w:tcPr>
            <w:tcW w:type="dxa" w:w="2033"/>
            <w:shd w:fill="17365D"/>
          </w:tcPr>
          <w:p>
            <w:r/>
            <w:r>
              <w:rPr>
                <w:rFonts w:ascii="Aptos" w:hAnsi="Aptos"/>
                <w:b/>
                <w:color w:val="FFFFFF"/>
                <w:sz w:val="18"/>
              </w:rPr>
              <w:t>Initial Escalation</w:t>
            </w:r>
          </w:p>
        </w:tc>
        <w:tc>
          <w:tcPr>
            <w:tcW w:type="dxa" w:w="2033"/>
            <w:shd w:fill="17365D"/>
          </w:tcPr>
          <w:p>
            <w:r/>
            <w:r>
              <w:rPr>
                <w:rFonts w:ascii="Aptos" w:hAnsi="Aptos"/>
                <w:b/>
                <w:color w:val="FFFFFF"/>
                <w:sz w:val="18"/>
              </w:rPr>
              <w:t>Target Response</w:t>
            </w:r>
          </w:p>
        </w:tc>
      </w:tr>
      <w:tr>
        <w:tc>
          <w:tcPr>
            <w:tcW w:type="dxa" w:w="2033"/>
            <w:shd w:fill="D9EAD3"/>
          </w:tcPr>
          <w:p>
            <w:r/>
            <w:r>
              <w:rPr>
                <w:rFonts w:ascii="Aptos" w:hAnsi="Aptos"/>
                <w:b/>
                <w:sz w:val="18"/>
              </w:rPr>
              <w:t>1 - LOW</w:t>
            </w:r>
          </w:p>
        </w:tc>
        <w:tc>
          <w:tcPr>
            <w:tcW w:type="dxa" w:w="2033"/>
            <w:shd w:fill="D9EAD3"/>
          </w:tcPr>
          <w:p>
            <w:r/>
            <w:r>
              <w:rPr>
                <w:rFonts w:ascii="Aptos" w:hAnsi="Aptos"/>
                <w:b w:val="0"/>
                <w:sz w:val="18"/>
              </w:rPr>
              <w:t>Low</w:t>
            </w:r>
          </w:p>
        </w:tc>
        <w:tc>
          <w:tcPr>
            <w:tcW w:type="dxa" w:w="2033"/>
            <w:shd w:fill="D9EAD3"/>
          </w:tcPr>
          <w:p>
            <w:r/>
            <w:r>
              <w:rPr>
                <w:rFonts w:ascii="Aptos" w:hAnsi="Aptos"/>
                <w:b w:val="0"/>
                <w:sz w:val="18"/>
              </w:rPr>
              <w:t>Minor incorrect output/policy deviation; no material harm.</w:t>
            </w:r>
          </w:p>
        </w:tc>
        <w:tc>
          <w:tcPr>
            <w:tcW w:type="dxa" w:w="2033"/>
            <w:shd w:fill="D9EAD3"/>
          </w:tcPr>
          <w:p>
            <w:r/>
            <w:r>
              <w:rPr>
                <w:rFonts w:ascii="Aptos" w:hAnsi="Aptos"/>
                <w:b w:val="0"/>
                <w:sz w:val="18"/>
              </w:rPr>
              <w:t>Business/Service Owner</w:t>
            </w:r>
          </w:p>
        </w:tc>
        <w:tc>
          <w:tcPr>
            <w:tcW w:type="dxa" w:w="2033"/>
            <w:shd w:fill="D9EAD3"/>
          </w:tcPr>
          <w:p>
            <w:r/>
            <w:r>
              <w:rPr>
                <w:rFonts w:ascii="Aptos" w:hAnsi="Aptos"/>
                <w:b w:val="0"/>
                <w:sz w:val="18"/>
              </w:rPr>
              <w:t>Same business day</w:t>
            </w:r>
          </w:p>
        </w:tc>
      </w:tr>
      <w:tr>
        <w:tc>
          <w:tcPr>
            <w:tcW w:type="dxa" w:w="2033"/>
            <w:shd w:fill="FFF2CC"/>
          </w:tcPr>
          <w:p>
            <w:r/>
            <w:r>
              <w:rPr>
                <w:rFonts w:ascii="Aptos" w:hAnsi="Aptos"/>
                <w:b/>
                <w:sz w:val="18"/>
              </w:rPr>
              <w:t>2 - MODERATE</w:t>
            </w:r>
          </w:p>
        </w:tc>
        <w:tc>
          <w:tcPr>
            <w:tcW w:type="dxa" w:w="2033"/>
            <w:shd w:fill="FFF2CC"/>
          </w:tcPr>
          <w:p>
            <w:r/>
            <w:r>
              <w:rPr>
                <w:rFonts w:ascii="Aptos" w:hAnsi="Aptos"/>
                <w:b w:val="0"/>
                <w:sz w:val="18"/>
              </w:rPr>
              <w:t>Moderate</w:t>
            </w:r>
          </w:p>
        </w:tc>
        <w:tc>
          <w:tcPr>
            <w:tcW w:type="dxa" w:w="2033"/>
            <w:shd w:fill="FFF2CC"/>
          </w:tcPr>
          <w:p>
            <w:r/>
            <w:r>
              <w:rPr>
                <w:rFonts w:ascii="Aptos" w:hAnsi="Aptos"/>
                <w:b w:val="0"/>
                <w:sz w:val="18"/>
              </w:rPr>
              <w:t>Limited impact, recurring unreliable output or recoverable control weakness.</w:t>
            </w:r>
          </w:p>
        </w:tc>
        <w:tc>
          <w:tcPr>
            <w:tcW w:type="dxa" w:w="2033"/>
            <w:shd w:fill="FFF2CC"/>
          </w:tcPr>
          <w:p>
            <w:r/>
            <w:r>
              <w:rPr>
                <w:rFonts w:ascii="Aptos" w:hAnsi="Aptos"/>
                <w:b w:val="0"/>
                <w:sz w:val="18"/>
              </w:rPr>
              <w:t>Owner + AI Governance/Risk</w:t>
            </w:r>
          </w:p>
        </w:tc>
        <w:tc>
          <w:tcPr>
            <w:tcW w:type="dxa" w:w="2033"/>
            <w:shd w:fill="FFF2CC"/>
          </w:tcPr>
          <w:p>
            <w:r/>
            <w:r>
              <w:rPr>
                <w:rFonts w:ascii="Aptos" w:hAnsi="Aptos"/>
                <w:b w:val="0"/>
                <w:sz w:val="18"/>
              </w:rPr>
              <w:t>Within 4 hours</w:t>
            </w:r>
          </w:p>
        </w:tc>
      </w:tr>
      <w:tr>
        <w:tc>
          <w:tcPr>
            <w:tcW w:type="dxa" w:w="2033"/>
            <w:shd w:fill="FCE5CD"/>
          </w:tcPr>
          <w:p>
            <w:r/>
            <w:r>
              <w:rPr>
                <w:rFonts w:ascii="Aptos" w:hAnsi="Aptos"/>
                <w:b/>
                <w:sz w:val="18"/>
              </w:rPr>
              <w:t>3 - HIGH</w:t>
            </w:r>
          </w:p>
        </w:tc>
        <w:tc>
          <w:tcPr>
            <w:tcW w:type="dxa" w:w="2033"/>
            <w:shd w:fill="FCE5CD"/>
          </w:tcPr>
          <w:p>
            <w:r/>
            <w:r>
              <w:rPr>
                <w:rFonts w:ascii="Aptos" w:hAnsi="Aptos"/>
                <w:b w:val="0"/>
                <w:sz w:val="18"/>
              </w:rPr>
              <w:t>High</w:t>
            </w:r>
          </w:p>
        </w:tc>
        <w:tc>
          <w:tcPr>
            <w:tcW w:type="dxa" w:w="2033"/>
            <w:shd w:fill="FCE5CD"/>
          </w:tcPr>
          <w:p>
            <w:r/>
            <w:r>
              <w:rPr>
                <w:rFonts w:ascii="Aptos" w:hAnsi="Aptos"/>
                <w:b w:val="0"/>
                <w:sz w:val="18"/>
              </w:rPr>
              <w:t>Material customer, financial, privacy, security, legal or operational impact; agent exceeds authority.</w:t>
            </w:r>
          </w:p>
        </w:tc>
        <w:tc>
          <w:tcPr>
            <w:tcW w:type="dxa" w:w="2033"/>
            <w:shd w:fill="FCE5CD"/>
          </w:tcPr>
          <w:p>
            <w:r/>
            <w:r>
              <w:rPr>
                <w:rFonts w:ascii="Aptos" w:hAnsi="Aptos"/>
                <w:b w:val="0"/>
                <w:sz w:val="18"/>
              </w:rPr>
              <w:t>Executive Sponsor + Risk/Security/Legal</w:t>
            </w:r>
          </w:p>
        </w:tc>
        <w:tc>
          <w:tcPr>
            <w:tcW w:type="dxa" w:w="2033"/>
            <w:shd w:fill="FCE5CD"/>
          </w:tcPr>
          <w:p>
            <w:r/>
            <w:r>
              <w:rPr>
                <w:rFonts w:ascii="Aptos" w:hAnsi="Aptos"/>
                <w:b w:val="0"/>
                <w:sz w:val="18"/>
              </w:rPr>
              <w:t>Immediate / within 1 hour</w:t>
            </w:r>
          </w:p>
        </w:tc>
      </w:tr>
      <w:tr>
        <w:tc>
          <w:tcPr>
            <w:tcW w:type="dxa" w:w="2033"/>
            <w:shd w:fill="F4CCCC"/>
          </w:tcPr>
          <w:p>
            <w:r/>
            <w:r>
              <w:rPr>
                <w:rFonts w:ascii="Aptos" w:hAnsi="Aptos"/>
                <w:b/>
                <w:sz w:val="18"/>
              </w:rPr>
              <w:t>4 - CRITICAL</w:t>
            </w:r>
          </w:p>
        </w:tc>
        <w:tc>
          <w:tcPr>
            <w:tcW w:type="dxa" w:w="2033"/>
            <w:shd w:fill="F4CCCC"/>
          </w:tcPr>
          <w:p>
            <w:r/>
            <w:r>
              <w:rPr>
                <w:rFonts w:ascii="Aptos" w:hAnsi="Aptos"/>
                <w:b w:val="0"/>
                <w:sz w:val="18"/>
              </w:rPr>
              <w:t>Critical</w:t>
            </w:r>
          </w:p>
        </w:tc>
        <w:tc>
          <w:tcPr>
            <w:tcW w:type="dxa" w:w="2033"/>
            <w:shd w:fill="F4CCCC"/>
          </w:tcPr>
          <w:p>
            <w:r/>
            <w:r>
              <w:rPr>
                <w:rFonts w:ascii="Aptos" w:hAnsi="Aptos"/>
                <w:b w:val="0"/>
                <w:sz w:val="18"/>
              </w:rPr>
              <w:t>Severe/widespread harm; uncontrolled autonomy; privileged compromise; major data breach; loss of effective control.</w:t>
            </w:r>
          </w:p>
        </w:tc>
        <w:tc>
          <w:tcPr>
            <w:tcW w:type="dxa" w:w="2033"/>
            <w:shd w:fill="F4CCCC"/>
          </w:tcPr>
          <w:p>
            <w:r/>
            <w:r>
              <w:rPr>
                <w:rFonts w:ascii="Aptos" w:hAnsi="Aptos"/>
                <w:b w:val="0"/>
                <w:sz w:val="18"/>
              </w:rPr>
              <w:t>Executive Crisis Leadership/CISO/Legal/Board escalation</w:t>
            </w:r>
          </w:p>
        </w:tc>
        <w:tc>
          <w:tcPr>
            <w:tcW w:type="dxa" w:w="2033"/>
            <w:shd w:fill="F4CCCC"/>
          </w:tcPr>
          <w:p>
            <w:r/>
            <w:r>
              <w:rPr>
                <w:rFonts w:ascii="Aptos" w:hAnsi="Aptos"/>
                <w:b w:val="0"/>
                <w:sz w:val="18"/>
              </w:rPr>
              <w:t>Immediate</w:t>
            </w:r>
          </w:p>
        </w:tc>
      </w:tr>
    </w:tbl>
    <w:p>
      <w:pPr>
        <w:pStyle w:val="Heading1"/>
      </w:pPr>
      <w:r>
        <w:t>4. Immediate Response: STOP - CONTAIN - ESCALATE</w:t>
      </w:r>
    </w:p>
    <w:p>
      <w:r>
        <w:rPr>
          <w:b/>
          <w:color w:val="17365D"/>
        </w:rPr>
        <w:t xml:space="preserve">STOP: </w:t>
      </w:r>
      <w:r>
        <w:t>Suspend the AI process, revoke access, disable the integration or activate the approved stop/kill mechanism where safe and authorised.</w:t>
      </w:r>
    </w:p>
    <w:p>
      <w:r>
        <w:rPr>
          <w:b/>
          <w:color w:val="17365D"/>
        </w:rPr>
        <w:t xml:space="preserve">CONTAIN: </w:t>
      </w:r>
      <w:r>
        <w:t>Prevent further data exposure, transactions, communications or system actions. Restrict credentials, connectors, tools and permissions.</w:t>
      </w:r>
    </w:p>
    <w:p>
      <w:r>
        <w:rPr>
          <w:b/>
          <w:color w:val="17365D"/>
        </w:rPr>
        <w:t xml:space="preserve">ESCALATE: </w:t>
      </w:r>
      <w:r>
        <w:t>Notify the appropriate incident owner based on severity. Do not wait for complete diagnosis before escalating a potentially High or Critical event.</w:t>
      </w:r>
    </w:p>
    <w:p>
      <w:pPr>
        <w:pStyle w:val="Heading1"/>
      </w:pPr>
      <w:r>
        <w:t>5. First 30 Minutes Checklist</w:t>
      </w:r>
    </w:p>
    <w:p>
      <w:pPr>
        <w:pStyle w:val="ListBullet"/>
        <w:spacing w:after="60"/>
      </w:pPr>
      <w:r>
        <w:t>Protect people, customers, data and critical operations from further harm.</w:t>
      </w:r>
    </w:p>
    <w:p>
      <w:pPr>
        <w:pStyle w:val="ListBullet"/>
        <w:spacing w:after="60"/>
      </w:pPr>
      <w:r>
        <w:t>Identify the affected AI system, use case and business process.</w:t>
      </w:r>
    </w:p>
    <w:p>
      <w:pPr>
        <w:pStyle w:val="ListBullet"/>
        <w:spacing w:after="60"/>
      </w:pPr>
      <w:r>
        <w:t>Stop or restrict autonomous actions if boundaries may have been exceeded.</w:t>
      </w:r>
    </w:p>
    <w:p>
      <w:pPr>
        <w:pStyle w:val="ListBullet"/>
        <w:spacing w:after="60"/>
      </w:pPr>
      <w:r>
        <w:t>Preserve logs, prompts, outputs, tool calls, system events and communications.</w:t>
      </w:r>
    </w:p>
    <w:p>
      <w:pPr>
        <w:pStyle w:val="ListBullet"/>
        <w:spacing w:after="60"/>
      </w:pPr>
      <w:r>
        <w:t>Do not delete evidence or make unnecessary changes before evidence is captured.</w:t>
      </w:r>
    </w:p>
    <w:p>
      <w:pPr>
        <w:pStyle w:val="ListBullet"/>
        <w:spacing w:after="60"/>
      </w:pPr>
      <w:r>
        <w:t>Notify the business owner and incident lead.</w:t>
      </w:r>
    </w:p>
    <w:p>
      <w:pPr>
        <w:pStyle w:val="ListBullet"/>
        <w:spacing w:after="60"/>
      </w:pPr>
      <w:r>
        <w:t>Escalate immediately if sensitive data, privileged access, customer harm or uncontrolled autonomy is involved.</w:t>
      </w:r>
    </w:p>
    <w:p>
      <w:pPr>
        <w:pStyle w:val="ListBullet"/>
        <w:spacing w:after="60"/>
      </w:pPr>
      <w:r>
        <w:t>Record detection time, reporter and actions already taken.</w:t>
      </w:r>
    </w:p>
    <w:p>
      <w:pPr>
        <w:pStyle w:val="Heading1"/>
      </w:pPr>
      <w:r>
        <w:t>6. Escalation Decision Matrix</w:t>
      </w:r>
    </w:p>
    <w:tbl>
      <w:tblPr>
        <w:tblStyle w:val="TableGrid"/>
        <w:tblW w:type="auto" w:w="0"/>
        <w:jc w:val="center"/>
        <w:tblLook w:firstColumn="1" w:firstRow="1" w:lastColumn="0" w:lastRow="0" w:noHBand="0" w:noVBand="1" w:val="04A0"/>
      </w:tblPr>
      <w:tblGrid>
        <w:gridCol w:w="2541"/>
        <w:gridCol w:w="2541"/>
        <w:gridCol w:w="2541"/>
        <w:gridCol w:w="2541"/>
      </w:tblGrid>
      <w:tr>
        <w:tc>
          <w:tcPr>
            <w:tcW w:type="dxa" w:w="2541"/>
            <w:shd w:fill="17365D"/>
          </w:tcPr>
          <w:p>
            <w:r/>
            <w:r>
              <w:rPr>
                <w:rFonts w:ascii="Aptos" w:hAnsi="Aptos"/>
                <w:b/>
                <w:color w:val="FFFFFF"/>
                <w:sz w:val="18"/>
              </w:rPr>
              <w:t>Trigger</w:t>
            </w:r>
          </w:p>
        </w:tc>
        <w:tc>
          <w:tcPr>
            <w:tcW w:type="dxa" w:w="2541"/>
            <w:shd w:fill="17365D"/>
          </w:tcPr>
          <w:p>
            <w:r/>
            <w:r>
              <w:rPr>
                <w:rFonts w:ascii="Aptos" w:hAnsi="Aptos"/>
                <w:b/>
                <w:color w:val="FFFFFF"/>
                <w:sz w:val="18"/>
              </w:rPr>
              <w:t>Minimum Severity</w:t>
            </w:r>
          </w:p>
        </w:tc>
        <w:tc>
          <w:tcPr>
            <w:tcW w:type="dxa" w:w="2541"/>
            <w:shd w:fill="17365D"/>
          </w:tcPr>
          <w:p>
            <w:r/>
            <w:r>
              <w:rPr>
                <w:rFonts w:ascii="Aptos" w:hAnsi="Aptos"/>
                <w:b/>
                <w:color w:val="FFFFFF"/>
                <w:sz w:val="18"/>
              </w:rPr>
              <w:t>Notify</w:t>
            </w:r>
          </w:p>
        </w:tc>
        <w:tc>
          <w:tcPr>
            <w:tcW w:type="dxa" w:w="2541"/>
            <w:shd w:fill="17365D"/>
          </w:tcPr>
          <w:p>
            <w:r/>
            <w:r>
              <w:rPr>
                <w:rFonts w:ascii="Aptos" w:hAnsi="Aptos"/>
                <w:b/>
                <w:color w:val="FFFFFF"/>
                <w:sz w:val="18"/>
              </w:rPr>
              <w:t>Typical Action</w:t>
            </w:r>
          </w:p>
        </w:tc>
      </w:tr>
      <w:tr>
        <w:tc>
          <w:tcPr>
            <w:tcW w:type="dxa" w:w="2541"/>
          </w:tcPr>
          <w:p>
            <w:r/>
            <w:r>
              <w:rPr>
                <w:rFonts w:ascii="Aptos" w:hAnsi="Aptos"/>
                <w:b/>
                <w:sz w:val="18"/>
              </w:rPr>
              <w:t>Sensitive/personal data exposure</w:t>
            </w:r>
          </w:p>
        </w:tc>
        <w:tc>
          <w:tcPr>
            <w:tcW w:type="dxa" w:w="2541"/>
          </w:tcPr>
          <w:p>
            <w:r/>
            <w:r>
              <w:rPr>
                <w:rFonts w:ascii="Aptos" w:hAnsi="Aptos"/>
                <w:b w:val="0"/>
                <w:sz w:val="18"/>
              </w:rPr>
              <w:t>High</w:t>
            </w:r>
          </w:p>
        </w:tc>
        <w:tc>
          <w:tcPr>
            <w:tcW w:type="dxa" w:w="2541"/>
          </w:tcPr>
          <w:p>
            <w:r/>
            <w:r>
              <w:rPr>
                <w:rFonts w:ascii="Aptos" w:hAnsi="Aptos"/>
                <w:b w:val="0"/>
                <w:sz w:val="18"/>
              </w:rPr>
              <w:t>Privacy/DPO, Security, Legal</w:t>
            </w:r>
          </w:p>
        </w:tc>
        <w:tc>
          <w:tcPr>
            <w:tcW w:type="dxa" w:w="2541"/>
          </w:tcPr>
          <w:p>
            <w:r/>
            <w:r>
              <w:rPr>
                <w:rFonts w:ascii="Aptos" w:hAnsi="Aptos"/>
                <w:b w:val="0"/>
                <w:sz w:val="18"/>
              </w:rPr>
              <w:t>Contain access; assess notification obligations.</w:t>
            </w:r>
          </w:p>
        </w:tc>
      </w:tr>
      <w:tr>
        <w:tc>
          <w:tcPr>
            <w:tcW w:type="dxa" w:w="2541"/>
          </w:tcPr>
          <w:p>
            <w:r/>
            <w:r>
              <w:rPr>
                <w:rFonts w:ascii="Aptos" w:hAnsi="Aptos"/>
                <w:b/>
                <w:sz w:val="18"/>
              </w:rPr>
              <w:t>AI agent exceeds authorised permissions</w:t>
            </w:r>
          </w:p>
        </w:tc>
        <w:tc>
          <w:tcPr>
            <w:tcW w:type="dxa" w:w="2541"/>
          </w:tcPr>
          <w:p>
            <w:r/>
            <w:r>
              <w:rPr>
                <w:rFonts w:ascii="Aptos" w:hAnsi="Aptos"/>
                <w:b w:val="0"/>
                <w:sz w:val="18"/>
              </w:rPr>
              <w:t>High</w:t>
            </w:r>
          </w:p>
        </w:tc>
        <w:tc>
          <w:tcPr>
            <w:tcW w:type="dxa" w:w="2541"/>
          </w:tcPr>
          <w:p>
            <w:r/>
            <w:r>
              <w:rPr>
                <w:rFonts w:ascii="Aptos" w:hAnsi="Aptos"/>
                <w:b w:val="0"/>
                <w:sz w:val="18"/>
              </w:rPr>
              <w:t>Owner, Technology, Security, AI Governance</w:t>
            </w:r>
          </w:p>
        </w:tc>
        <w:tc>
          <w:tcPr>
            <w:tcW w:type="dxa" w:w="2541"/>
          </w:tcPr>
          <w:p>
            <w:r/>
            <w:r>
              <w:rPr>
                <w:rFonts w:ascii="Aptos" w:hAnsi="Aptos"/>
                <w:b w:val="0"/>
                <w:sz w:val="18"/>
              </w:rPr>
              <w:t>Disable/restrict agent; revoke credentials; preserve action logs.</w:t>
            </w:r>
          </w:p>
        </w:tc>
      </w:tr>
      <w:tr>
        <w:tc>
          <w:tcPr>
            <w:tcW w:type="dxa" w:w="2541"/>
          </w:tcPr>
          <w:p>
            <w:r/>
            <w:r>
              <w:rPr>
                <w:rFonts w:ascii="Aptos" w:hAnsi="Aptos"/>
                <w:b/>
                <w:sz w:val="18"/>
              </w:rPr>
              <w:t>Privileged access or cyber exploitation</w:t>
            </w:r>
          </w:p>
        </w:tc>
        <w:tc>
          <w:tcPr>
            <w:tcW w:type="dxa" w:w="2541"/>
          </w:tcPr>
          <w:p>
            <w:r/>
            <w:r>
              <w:rPr>
                <w:rFonts w:ascii="Aptos" w:hAnsi="Aptos"/>
                <w:b w:val="0"/>
                <w:sz w:val="18"/>
              </w:rPr>
              <w:t>Critical</w:t>
            </w:r>
          </w:p>
        </w:tc>
        <w:tc>
          <w:tcPr>
            <w:tcW w:type="dxa" w:w="2541"/>
          </w:tcPr>
          <w:p>
            <w:r/>
            <w:r>
              <w:rPr>
                <w:rFonts w:ascii="Aptos" w:hAnsi="Aptos"/>
                <w:b w:val="0"/>
                <w:sz w:val="18"/>
              </w:rPr>
              <w:t>CISO/Security, Sponsor, Legal</w:t>
            </w:r>
          </w:p>
        </w:tc>
        <w:tc>
          <w:tcPr>
            <w:tcW w:type="dxa" w:w="2541"/>
          </w:tcPr>
          <w:p>
            <w:r/>
            <w:r>
              <w:rPr>
                <w:rFonts w:ascii="Aptos" w:hAnsi="Aptos"/>
                <w:b w:val="0"/>
                <w:sz w:val="18"/>
              </w:rPr>
              <w:t>Isolate systems; invoke cyber incident response.</w:t>
            </w:r>
          </w:p>
        </w:tc>
      </w:tr>
      <w:tr>
        <w:tc>
          <w:tcPr>
            <w:tcW w:type="dxa" w:w="2541"/>
          </w:tcPr>
          <w:p>
            <w:r/>
            <w:r>
              <w:rPr>
                <w:rFonts w:ascii="Aptos" w:hAnsi="Aptos"/>
                <w:b/>
                <w:sz w:val="18"/>
              </w:rPr>
              <w:t>Material customer/financial decision error</w:t>
            </w:r>
          </w:p>
        </w:tc>
        <w:tc>
          <w:tcPr>
            <w:tcW w:type="dxa" w:w="2541"/>
          </w:tcPr>
          <w:p>
            <w:r/>
            <w:r>
              <w:rPr>
                <w:rFonts w:ascii="Aptos" w:hAnsi="Aptos"/>
                <w:b w:val="0"/>
                <w:sz w:val="18"/>
              </w:rPr>
              <w:t>High</w:t>
            </w:r>
          </w:p>
        </w:tc>
        <w:tc>
          <w:tcPr>
            <w:tcW w:type="dxa" w:w="2541"/>
          </w:tcPr>
          <w:p>
            <w:r/>
            <w:r>
              <w:rPr>
                <w:rFonts w:ascii="Aptos" w:hAnsi="Aptos"/>
                <w:b w:val="0"/>
                <w:sz w:val="18"/>
              </w:rPr>
              <w:t>Owner, Risk/Compliance, Sponsor</w:t>
            </w:r>
          </w:p>
        </w:tc>
        <w:tc>
          <w:tcPr>
            <w:tcW w:type="dxa" w:w="2541"/>
          </w:tcPr>
          <w:p>
            <w:r/>
            <w:r>
              <w:rPr>
                <w:rFonts w:ascii="Aptos" w:hAnsi="Aptos"/>
                <w:b w:val="0"/>
                <w:sz w:val="18"/>
              </w:rPr>
              <w:t>Suspend process; identify affected cases.</w:t>
            </w:r>
          </w:p>
        </w:tc>
      </w:tr>
      <w:tr>
        <w:tc>
          <w:tcPr>
            <w:tcW w:type="dxa" w:w="2541"/>
          </w:tcPr>
          <w:p>
            <w:r/>
            <w:r>
              <w:rPr>
                <w:rFonts w:ascii="Aptos" w:hAnsi="Aptos"/>
                <w:b/>
                <w:sz w:val="18"/>
              </w:rPr>
              <w:t>Bias/discriminatory outcome</w:t>
            </w:r>
          </w:p>
        </w:tc>
        <w:tc>
          <w:tcPr>
            <w:tcW w:type="dxa" w:w="2541"/>
          </w:tcPr>
          <w:p>
            <w:r/>
            <w:r>
              <w:rPr>
                <w:rFonts w:ascii="Aptos" w:hAnsi="Aptos"/>
                <w:b w:val="0"/>
                <w:sz w:val="18"/>
              </w:rPr>
              <w:t>High</w:t>
            </w:r>
          </w:p>
        </w:tc>
        <w:tc>
          <w:tcPr>
            <w:tcW w:type="dxa" w:w="2541"/>
          </w:tcPr>
          <w:p>
            <w:r/>
            <w:r>
              <w:rPr>
                <w:rFonts w:ascii="Aptos" w:hAnsi="Aptos"/>
                <w:b w:val="0"/>
                <w:sz w:val="18"/>
              </w:rPr>
              <w:t>Risk/Compliance, Legal, Owner</w:t>
            </w:r>
          </w:p>
        </w:tc>
        <w:tc>
          <w:tcPr>
            <w:tcW w:type="dxa" w:w="2541"/>
          </w:tcPr>
          <w:p>
            <w:r/>
            <w:r>
              <w:rPr>
                <w:rFonts w:ascii="Aptos" w:hAnsi="Aptos"/>
                <w:b w:val="0"/>
                <w:sz w:val="18"/>
              </w:rPr>
              <w:t>Suspend use where necessary; assess affected decisions.</w:t>
            </w:r>
          </w:p>
        </w:tc>
      </w:tr>
      <w:tr>
        <w:tc>
          <w:tcPr>
            <w:tcW w:type="dxa" w:w="2541"/>
          </w:tcPr>
          <w:p>
            <w:r/>
            <w:r>
              <w:rPr>
                <w:rFonts w:ascii="Aptos" w:hAnsi="Aptos"/>
                <w:b/>
                <w:sz w:val="18"/>
              </w:rPr>
              <w:t>Minor hallucination, no material impact</w:t>
            </w:r>
          </w:p>
        </w:tc>
        <w:tc>
          <w:tcPr>
            <w:tcW w:type="dxa" w:w="2541"/>
          </w:tcPr>
          <w:p>
            <w:r/>
            <w:r>
              <w:rPr>
                <w:rFonts w:ascii="Aptos" w:hAnsi="Aptos"/>
                <w:b w:val="0"/>
                <w:sz w:val="18"/>
              </w:rPr>
              <w:t>Low</w:t>
            </w:r>
          </w:p>
        </w:tc>
        <w:tc>
          <w:tcPr>
            <w:tcW w:type="dxa" w:w="2541"/>
          </w:tcPr>
          <w:p>
            <w:r/>
            <w:r>
              <w:rPr>
                <w:rFonts w:ascii="Aptos" w:hAnsi="Aptos"/>
                <w:b w:val="0"/>
                <w:sz w:val="18"/>
              </w:rPr>
              <w:t>Business Owner</w:t>
            </w:r>
          </w:p>
        </w:tc>
        <w:tc>
          <w:tcPr>
            <w:tcW w:type="dxa" w:w="2541"/>
          </w:tcPr>
          <w:p>
            <w:r/>
            <w:r>
              <w:rPr>
                <w:rFonts w:ascii="Aptos" w:hAnsi="Aptos"/>
                <w:b w:val="0"/>
                <w:sz w:val="18"/>
              </w:rPr>
              <w:t>Correct; monitor recurrence.</w:t>
            </w:r>
          </w:p>
        </w:tc>
      </w:tr>
      <w:tr>
        <w:tc>
          <w:tcPr>
            <w:tcW w:type="dxa" w:w="2541"/>
          </w:tcPr>
          <w:p>
            <w:r/>
            <w:r>
              <w:rPr>
                <w:rFonts w:ascii="Aptos" w:hAnsi="Aptos"/>
                <w:b/>
                <w:sz w:val="18"/>
              </w:rPr>
              <w:t>Repeated reliability degradation</w:t>
            </w:r>
          </w:p>
        </w:tc>
        <w:tc>
          <w:tcPr>
            <w:tcW w:type="dxa" w:w="2541"/>
          </w:tcPr>
          <w:p>
            <w:r/>
            <w:r>
              <w:rPr>
                <w:rFonts w:ascii="Aptos" w:hAnsi="Aptos"/>
                <w:b w:val="0"/>
                <w:sz w:val="18"/>
              </w:rPr>
              <w:t>Moderate</w:t>
            </w:r>
          </w:p>
        </w:tc>
        <w:tc>
          <w:tcPr>
            <w:tcW w:type="dxa" w:w="2541"/>
          </w:tcPr>
          <w:p>
            <w:r/>
            <w:r>
              <w:rPr>
                <w:rFonts w:ascii="Aptos" w:hAnsi="Aptos"/>
                <w:b w:val="0"/>
                <w:sz w:val="18"/>
              </w:rPr>
              <w:t>Owner, Technology/Model Owner</w:t>
            </w:r>
          </w:p>
        </w:tc>
        <w:tc>
          <w:tcPr>
            <w:tcW w:type="dxa" w:w="2541"/>
          </w:tcPr>
          <w:p>
            <w:r/>
            <w:r>
              <w:rPr>
                <w:rFonts w:ascii="Aptos" w:hAnsi="Aptos"/>
                <w:b w:val="0"/>
                <w:sz w:val="18"/>
              </w:rPr>
              <w:t>Restrict use; investigate causes.</w:t>
            </w:r>
          </w:p>
        </w:tc>
      </w:tr>
    </w:tbl>
    <w:p>
      <w:pPr>
        <w:pStyle w:val="Heading1"/>
      </w:pPr>
      <w:r>
        <w:t>7. Roles and Responsibilities</w:t>
      </w:r>
    </w:p>
    <w:tbl>
      <w:tblPr>
        <w:tblStyle w:val="TableGrid"/>
        <w:tblW w:type="auto" w:w="0"/>
        <w:jc w:val="center"/>
        <w:tblLook w:firstColumn="1" w:firstRow="1" w:lastColumn="0" w:lastRow="0" w:noHBand="0" w:noVBand="1" w:val="04A0"/>
      </w:tblPr>
      <w:tblGrid>
        <w:gridCol w:w="5083"/>
        <w:gridCol w:w="5083"/>
      </w:tblGrid>
      <w:tr>
        <w:tc>
          <w:tcPr>
            <w:tcW w:type="dxa" w:w="5083"/>
            <w:shd w:fill="17365D"/>
          </w:tcPr>
          <w:p>
            <w:r/>
            <w:r>
              <w:rPr>
                <w:rFonts w:ascii="Aptos" w:hAnsi="Aptos"/>
                <w:b/>
                <w:color w:val="FFFFFF"/>
                <w:sz w:val="18"/>
              </w:rPr>
              <w:t>Role</w:t>
            </w:r>
          </w:p>
        </w:tc>
        <w:tc>
          <w:tcPr>
            <w:tcW w:type="dxa" w:w="5083"/>
            <w:shd w:fill="17365D"/>
          </w:tcPr>
          <w:p>
            <w:r/>
            <w:r>
              <w:rPr>
                <w:rFonts w:ascii="Aptos" w:hAnsi="Aptos"/>
                <w:b/>
                <w:color w:val="FFFFFF"/>
                <w:sz w:val="18"/>
              </w:rPr>
              <w:t>Incident Responsibility</w:t>
            </w:r>
          </w:p>
        </w:tc>
      </w:tr>
      <w:tr>
        <w:tc>
          <w:tcPr>
            <w:tcW w:type="dxa" w:w="5083"/>
          </w:tcPr>
          <w:p>
            <w:r/>
            <w:r>
              <w:rPr>
                <w:rFonts w:ascii="Aptos" w:hAnsi="Aptos"/>
                <w:b/>
                <w:sz w:val="18"/>
              </w:rPr>
              <w:t>Incident Reporter</w:t>
            </w:r>
          </w:p>
        </w:tc>
        <w:tc>
          <w:tcPr>
            <w:tcW w:type="dxa" w:w="5083"/>
          </w:tcPr>
          <w:p>
            <w:r/>
            <w:r>
              <w:rPr>
                <w:rFonts w:ascii="Aptos" w:hAnsi="Aptos"/>
                <w:b w:val="0"/>
                <w:sz w:val="18"/>
              </w:rPr>
              <w:t>Report promptly, preserve evidence and avoid unapproved remediation.</w:t>
            </w:r>
          </w:p>
        </w:tc>
      </w:tr>
      <w:tr>
        <w:tc>
          <w:tcPr>
            <w:tcW w:type="dxa" w:w="5083"/>
          </w:tcPr>
          <w:p>
            <w:r/>
            <w:r>
              <w:rPr>
                <w:rFonts w:ascii="Aptos" w:hAnsi="Aptos"/>
                <w:b/>
                <w:sz w:val="18"/>
              </w:rPr>
              <w:t>Business Owner</w:t>
            </w:r>
          </w:p>
        </w:tc>
        <w:tc>
          <w:tcPr>
            <w:tcW w:type="dxa" w:w="5083"/>
          </w:tcPr>
          <w:p>
            <w:r/>
            <w:r>
              <w:rPr>
                <w:rFonts w:ascii="Aptos" w:hAnsi="Aptos"/>
                <w:b w:val="0"/>
                <w:sz w:val="18"/>
              </w:rPr>
              <w:t>Own business containment, customer/process impact and operational decisions.</w:t>
            </w:r>
          </w:p>
        </w:tc>
      </w:tr>
      <w:tr>
        <w:tc>
          <w:tcPr>
            <w:tcW w:type="dxa" w:w="5083"/>
          </w:tcPr>
          <w:p>
            <w:r/>
            <w:r>
              <w:rPr>
                <w:rFonts w:ascii="Aptos" w:hAnsi="Aptos"/>
                <w:b/>
                <w:sz w:val="18"/>
              </w:rPr>
              <w:t>AI Governance / Risk</w:t>
            </w:r>
          </w:p>
        </w:tc>
        <w:tc>
          <w:tcPr>
            <w:tcW w:type="dxa" w:w="5083"/>
          </w:tcPr>
          <w:p>
            <w:r/>
            <w:r>
              <w:rPr>
                <w:rFonts w:ascii="Aptos" w:hAnsi="Aptos"/>
                <w:b w:val="0"/>
                <w:sz w:val="18"/>
              </w:rPr>
              <w:t>Classify severity, coordinate governance escalation and track corrective actions.</w:t>
            </w:r>
          </w:p>
        </w:tc>
      </w:tr>
      <w:tr>
        <w:tc>
          <w:tcPr>
            <w:tcW w:type="dxa" w:w="5083"/>
          </w:tcPr>
          <w:p>
            <w:r/>
            <w:r>
              <w:rPr>
                <w:rFonts w:ascii="Aptos" w:hAnsi="Aptos"/>
                <w:b/>
                <w:sz w:val="18"/>
              </w:rPr>
              <w:t>Technology / Model Owner</w:t>
            </w:r>
          </w:p>
        </w:tc>
        <w:tc>
          <w:tcPr>
            <w:tcW w:type="dxa" w:w="5083"/>
          </w:tcPr>
          <w:p>
            <w:r/>
            <w:r>
              <w:rPr>
                <w:rFonts w:ascii="Aptos" w:hAnsi="Aptos"/>
                <w:b w:val="0"/>
                <w:sz w:val="18"/>
              </w:rPr>
              <w:t>Contain technical behaviour, preserve logs, diagnose cause and implement remediation.</w:t>
            </w:r>
          </w:p>
        </w:tc>
      </w:tr>
      <w:tr>
        <w:tc>
          <w:tcPr>
            <w:tcW w:type="dxa" w:w="5083"/>
          </w:tcPr>
          <w:p>
            <w:r/>
            <w:r>
              <w:rPr>
                <w:rFonts w:ascii="Aptos" w:hAnsi="Aptos"/>
                <w:b/>
                <w:sz w:val="18"/>
              </w:rPr>
              <w:t>Information Security / CISO</w:t>
            </w:r>
          </w:p>
        </w:tc>
        <w:tc>
          <w:tcPr>
            <w:tcW w:type="dxa" w:w="5083"/>
          </w:tcPr>
          <w:p>
            <w:r/>
            <w:r>
              <w:rPr>
                <w:rFonts w:ascii="Aptos" w:hAnsi="Aptos"/>
                <w:b w:val="0"/>
                <w:sz w:val="18"/>
              </w:rPr>
              <w:t>Lead where cyber compromise, credentials, vulnerabilities or unauthorised access are involved.</w:t>
            </w:r>
          </w:p>
        </w:tc>
      </w:tr>
      <w:tr>
        <w:tc>
          <w:tcPr>
            <w:tcW w:type="dxa" w:w="5083"/>
          </w:tcPr>
          <w:p>
            <w:r/>
            <w:r>
              <w:rPr>
                <w:rFonts w:ascii="Aptos" w:hAnsi="Aptos"/>
                <w:b/>
                <w:sz w:val="18"/>
              </w:rPr>
              <w:t>Privacy / Legal / Compliance</w:t>
            </w:r>
          </w:p>
        </w:tc>
        <w:tc>
          <w:tcPr>
            <w:tcW w:type="dxa" w:w="5083"/>
          </w:tcPr>
          <w:p>
            <w:r/>
            <w:r>
              <w:rPr>
                <w:rFonts w:ascii="Aptos" w:hAnsi="Aptos"/>
                <w:b w:val="0"/>
                <w:sz w:val="18"/>
              </w:rPr>
              <w:t>Assess notification, contractual, legal and regulatory obligations.</w:t>
            </w:r>
          </w:p>
        </w:tc>
      </w:tr>
      <w:tr>
        <w:tc>
          <w:tcPr>
            <w:tcW w:type="dxa" w:w="5083"/>
          </w:tcPr>
          <w:p>
            <w:r/>
            <w:r>
              <w:rPr>
                <w:rFonts w:ascii="Aptos" w:hAnsi="Aptos"/>
                <w:b/>
                <w:sz w:val="18"/>
              </w:rPr>
              <w:t>Executive Sponsor</w:t>
            </w:r>
          </w:p>
        </w:tc>
        <w:tc>
          <w:tcPr>
            <w:tcW w:type="dxa" w:w="5083"/>
          </w:tcPr>
          <w:p>
            <w:r/>
            <w:r>
              <w:rPr>
                <w:rFonts w:ascii="Aptos" w:hAnsi="Aptos"/>
                <w:b w:val="0"/>
                <w:sz w:val="18"/>
              </w:rPr>
              <w:t>Direct material business decisions, risk acceptance and High/Critical escalation.</w:t>
            </w:r>
          </w:p>
        </w:tc>
      </w:tr>
      <w:tr>
        <w:tc>
          <w:tcPr>
            <w:tcW w:type="dxa" w:w="5083"/>
          </w:tcPr>
          <w:p>
            <w:r/>
            <w:r>
              <w:rPr>
                <w:rFonts w:ascii="Aptos" w:hAnsi="Aptos"/>
                <w:b/>
                <w:sz w:val="18"/>
              </w:rPr>
              <w:t>Board / Relevant Committee</w:t>
            </w:r>
          </w:p>
        </w:tc>
        <w:tc>
          <w:tcPr>
            <w:tcW w:type="dxa" w:w="5083"/>
          </w:tcPr>
          <w:p>
            <w:r/>
            <w:r>
              <w:rPr>
                <w:rFonts w:ascii="Aptos" w:hAnsi="Aptos"/>
                <w:b w:val="0"/>
                <w:sz w:val="18"/>
              </w:rPr>
              <w:t>Receive material incident reporting and oversee remediation where warranted.</w:t>
            </w:r>
          </w:p>
        </w:tc>
      </w:tr>
    </w:tbl>
    <w:p>
      <w:pPr>
        <w:pStyle w:val="Heading1"/>
      </w:pPr>
      <w:r>
        <w:t>8. AI Agent / Autonomous-System Emergency Controls</w:t>
      </w:r>
    </w:p>
    <w:p>
      <w:pPr>
        <w:spacing w:after="100"/>
      </w:pPr>
      <w:r>
        <w:t>Where AI can use tools, access systems, send communications, execute transactions or pursue multi-step objectives, the incident plan should include pre-defined emergency controls.</w:t>
      </w:r>
    </w:p>
    <w:p>
      <w:pPr>
        <w:pStyle w:val="ListBullet"/>
        <w:spacing w:after="60"/>
      </w:pPr>
      <w:r>
        <w:t>Immediate disable / kill switch.</w:t>
      </w:r>
    </w:p>
    <w:p>
      <w:pPr>
        <w:pStyle w:val="ListBullet"/>
        <w:spacing w:after="60"/>
      </w:pPr>
      <w:r>
        <w:t>Ability to revoke credentials, tokens and connector permissions.</w:t>
      </w:r>
    </w:p>
    <w:p>
      <w:pPr>
        <w:pStyle w:val="ListBullet"/>
        <w:spacing w:after="60"/>
      </w:pPr>
      <w:r>
        <w:t>Network/system isolation where appropriate.</w:t>
      </w:r>
    </w:p>
    <w:p>
      <w:pPr>
        <w:pStyle w:val="ListBullet"/>
        <w:spacing w:after="60"/>
      </w:pPr>
      <w:r>
        <w:t>Transaction, rate and financial limits.</w:t>
      </w:r>
    </w:p>
    <w:p>
      <w:pPr>
        <w:pStyle w:val="ListBullet"/>
        <w:spacing w:after="60"/>
      </w:pPr>
      <w:r>
        <w:t>Ability to freeze outbound communications or external actions.</w:t>
      </w:r>
    </w:p>
    <w:p>
      <w:pPr>
        <w:pStyle w:val="ListBullet"/>
        <w:spacing w:after="60"/>
      </w:pPr>
      <w:r>
        <w:t>Central action logs showing attempted and completed actions.</w:t>
      </w:r>
    </w:p>
    <w:p>
      <w:pPr>
        <w:pStyle w:val="ListBullet"/>
        <w:spacing w:after="60"/>
      </w:pPr>
      <w:r>
        <w:t>Named human authority empowered to suspend the agent without normal change approval.</w:t>
      </w:r>
    </w:p>
    <w:p>
      <w:pPr>
        <w:pStyle w:val="ListBullet"/>
        <w:spacing w:after="60"/>
      </w:pPr>
      <w:r>
        <w:t>Fallback manual process for critical operations.</w:t>
      </w:r>
    </w:p>
    <w:p>
      <w:pPr>
        <w:pStyle w:val="Heading1"/>
      </w:pPr>
      <w:r>
        <w:t>9. Investigation and Evidence</w:t>
      </w:r>
    </w:p>
    <w:p>
      <w:pPr>
        <w:pStyle w:val="ListBullet"/>
        <w:spacing w:after="60"/>
      </w:pPr>
      <w:r>
        <w:t>Prompts, system instructions and relevant conversation history.</w:t>
      </w:r>
    </w:p>
    <w:p>
      <w:pPr>
        <w:pStyle w:val="ListBullet"/>
        <w:spacing w:after="60"/>
      </w:pPr>
      <w:r>
        <w:t>Model/version and configuration in use.</w:t>
      </w:r>
    </w:p>
    <w:p>
      <w:pPr>
        <w:pStyle w:val="ListBullet"/>
        <w:spacing w:after="60"/>
      </w:pPr>
      <w:r>
        <w:t>Tool calls, API requests, connector activity and agent action logs.</w:t>
      </w:r>
    </w:p>
    <w:p>
      <w:pPr>
        <w:pStyle w:val="ListBullet"/>
        <w:spacing w:after="60"/>
      </w:pPr>
      <w:r>
        <w:t>Identity, access and permission records.</w:t>
      </w:r>
    </w:p>
    <w:p>
      <w:pPr>
        <w:pStyle w:val="ListBullet"/>
        <w:spacing w:after="60"/>
      </w:pPr>
      <w:r>
        <w:t>Input data, retrieved documents and external content.</w:t>
      </w:r>
    </w:p>
    <w:p>
      <w:pPr>
        <w:pStyle w:val="ListBullet"/>
        <w:spacing w:after="60"/>
      </w:pPr>
      <w:r>
        <w:t>Outputs, decisions and communications produced.</w:t>
      </w:r>
    </w:p>
    <w:p>
      <w:pPr>
        <w:pStyle w:val="ListBullet"/>
        <w:spacing w:after="60"/>
      </w:pPr>
      <w:r>
        <w:t>Human review/approval records.</w:t>
      </w:r>
    </w:p>
    <w:p>
      <w:pPr>
        <w:pStyle w:val="ListBullet"/>
        <w:spacing w:after="60"/>
      </w:pPr>
      <w:r>
        <w:t>Vendor status and model/service change notices.</w:t>
      </w:r>
    </w:p>
    <w:p>
      <w:pPr>
        <w:pStyle w:val="ListBullet"/>
        <w:spacing w:after="60"/>
      </w:pPr>
      <w:r>
        <w:t>Security logs, alerts and network/system evidence.</w:t>
      </w:r>
    </w:p>
    <w:p>
      <w:pPr>
        <w:pStyle w:val="ListBullet"/>
        <w:spacing w:after="60"/>
      </w:pPr>
      <w:r>
        <w:t>Timeline of detection, containment, escalation and recovery.</w:t>
      </w:r>
    </w:p>
    <w:p>
      <w:pPr>
        <w:pStyle w:val="Heading1"/>
      </w:pPr>
      <w:r>
        <w:t>10. Root-Cause Analysis</w:t>
      </w:r>
    </w:p>
    <w:p>
      <w:pPr>
        <w:pStyle w:val="ListBullet"/>
        <w:spacing w:after="60"/>
      </w:pPr>
      <w:r>
        <w:t>Unclear or unsafe objectives/instructions.</w:t>
      </w:r>
    </w:p>
    <w:p>
      <w:pPr>
        <w:pStyle w:val="ListBullet"/>
        <w:spacing w:after="60"/>
      </w:pPr>
      <w:r>
        <w:t>Inadequate guardrails or permissions.</w:t>
      </w:r>
    </w:p>
    <w:p>
      <w:pPr>
        <w:pStyle w:val="ListBullet"/>
        <w:spacing w:after="60"/>
      </w:pPr>
      <w:r>
        <w:t>Prompt injection or malicious external content.</w:t>
      </w:r>
    </w:p>
    <w:p>
      <w:pPr>
        <w:pStyle w:val="ListBullet"/>
        <w:spacing w:after="60"/>
      </w:pPr>
      <w:r>
        <w:t>Poor-quality, inappropriate or outdated data.</w:t>
      </w:r>
    </w:p>
    <w:p>
      <w:pPr>
        <w:pStyle w:val="ListBullet"/>
        <w:spacing w:after="60"/>
      </w:pPr>
      <w:r>
        <w:t>Model limitation, hallucination or capability change.</w:t>
      </w:r>
    </w:p>
    <w:p>
      <w:pPr>
        <w:pStyle w:val="ListBullet"/>
        <w:spacing w:after="60"/>
      </w:pPr>
      <w:r>
        <w:t>Failure of human oversight or escalation.</w:t>
      </w:r>
    </w:p>
    <w:p>
      <w:pPr>
        <w:pStyle w:val="ListBullet"/>
        <w:spacing w:after="60"/>
      </w:pPr>
      <w:r>
        <w:t>Vendor/model update not adequately reassessed.</w:t>
      </w:r>
    </w:p>
    <w:p>
      <w:pPr>
        <w:pStyle w:val="ListBullet"/>
        <w:spacing w:after="60"/>
      </w:pPr>
      <w:r>
        <w:t>Integration or security design weakness.</w:t>
      </w:r>
    </w:p>
    <w:p>
      <w:pPr>
        <w:pStyle w:val="ListBullet"/>
        <w:spacing w:after="60"/>
      </w:pPr>
      <w:r>
        <w:t>Insufficient testing before deployment.</w:t>
      </w:r>
    </w:p>
    <w:p>
      <w:pPr>
        <w:pStyle w:val="ListBullet"/>
        <w:spacing w:after="60"/>
      </w:pPr>
      <w:r>
        <w:t>Monitoring failed to detect abnormal behaviour quickly enough.</w:t>
      </w:r>
    </w:p>
    <w:p>
      <w:pPr>
        <w:pStyle w:val="Heading1"/>
      </w:pPr>
      <w:r>
        <w:t>11. Recovery and Return to Service</w:t>
      </w:r>
    </w:p>
    <w:p>
      <w:pPr>
        <w:spacing w:after="100"/>
      </w:pPr>
      <w:r>
        <w:t>An affected AI capability should not return to normal operation merely because the immediate symptoms have stopped.</w:t>
      </w:r>
    </w:p>
    <w:p>
      <w:pPr>
        <w:spacing w:after="100"/>
      </w:pPr>
      <w:r>
        <w:t>Before restoration, confirm that the cause is sufficiently understood, required controls are strengthened, relevant testing is complete, residual risk is acceptable, monitoring is in place and the authorised governance owner has approved return to service. For High or Critical incidents, consider phased restoration with restricted permissions and enhanced monitoring.</w:t>
      </w:r>
    </w:p>
    <w:p>
      <w:pPr>
        <w:pStyle w:val="Heading1"/>
      </w:pPr>
      <w:r>
        <w:t>12. Communication and Notification</w:t>
      </w:r>
    </w:p>
    <w:p>
      <w:pPr>
        <w:spacing w:after="100"/>
      </w:pPr>
      <w:r>
        <w:t>Internal and external communications should be coordinated through authorised channels. Legal, Privacy, Compliance, Security and Communications functions should determine whether customers, regulators, insurers, suppliers or other parties must be notified. Do not speculate publicly about cause, impact or responsibility before facts are established.</w:t>
      </w:r>
    </w:p>
    <w:p>
      <w:pPr>
        <w:pStyle w:val="Heading1"/>
      </w:pPr>
      <w:r>
        <w:t>13. Post-Incident Review</w:t>
      </w:r>
    </w:p>
    <w:p>
      <w:pPr>
        <w:pStyle w:val="ListBullet"/>
        <w:spacing w:after="60"/>
      </w:pPr>
      <w:r>
        <w:t>What happened and what was the impact?</w:t>
      </w:r>
    </w:p>
    <w:p>
      <w:pPr>
        <w:pStyle w:val="ListBullet"/>
        <w:spacing w:after="60"/>
      </w:pPr>
      <w:r>
        <w:t>Why did existing controls not prevent or contain it sooner?</w:t>
      </w:r>
    </w:p>
    <w:p>
      <w:pPr>
        <w:pStyle w:val="ListBullet"/>
        <w:spacing w:after="60"/>
      </w:pPr>
      <w:r>
        <w:t>Was the risk classification appropriate?</w:t>
      </w:r>
    </w:p>
    <w:p>
      <w:pPr>
        <w:pStyle w:val="ListBullet"/>
        <w:spacing w:after="60"/>
      </w:pPr>
      <w:r>
        <w:t>Did human oversight work as designed?</w:t>
      </w:r>
    </w:p>
    <w:p>
      <w:pPr>
        <w:pStyle w:val="ListBullet"/>
        <w:spacing w:after="60"/>
      </w:pPr>
      <w:r>
        <w:t>Did monitoring provide sufficient warning?</w:t>
      </w:r>
    </w:p>
    <w:p>
      <w:pPr>
        <w:pStyle w:val="ListBullet"/>
        <w:spacing w:after="60"/>
      </w:pPr>
      <w:r>
        <w:t>Do permissions, guardrails or limits need strengthening?</w:t>
      </w:r>
    </w:p>
    <w:p>
      <w:pPr>
        <w:pStyle w:val="ListBullet"/>
        <w:spacing w:after="60"/>
      </w:pPr>
      <w:r>
        <w:t>Does the AI Risk Assessment need updating?</w:t>
      </w:r>
    </w:p>
    <w:p>
      <w:pPr>
        <w:pStyle w:val="ListBullet"/>
        <w:spacing w:after="60"/>
      </w:pPr>
      <w:r>
        <w:t>Does the Vendor Assessment need revisiting?</w:t>
      </w:r>
    </w:p>
    <w:p>
      <w:pPr>
        <w:pStyle w:val="ListBullet"/>
        <w:spacing w:after="60"/>
      </w:pPr>
      <w:r>
        <w:t>Should similar use cases be reviewed?</w:t>
      </w:r>
    </w:p>
    <w:p>
      <w:pPr>
        <w:pStyle w:val="ListBullet"/>
        <w:spacing w:after="60"/>
      </w:pPr>
      <w:r>
        <w:t>What policy, training or governance changes are required?</w:t>
      </w:r>
    </w:p>
    <w:p>
      <w:pPr>
        <w:pStyle w:val="Heading1"/>
      </w:pPr>
      <w:r>
        <w:t>14. Governance Feedback Loop</w:t>
      </w:r>
    </w:p>
    <w:p>
      <w:pPr>
        <w:spacing w:after="100"/>
      </w:pPr>
      <w:r>
        <w:t>Lessons should feed back into the AI Use-Case Register, Risk Classification, AI Risk Assessment, Project Approval conditions, Vendor Assessment and Acceptable Use Policy where relevant.</w:t>
      </w:r>
    </w:p>
    <w:p>
      <w:pPr>
        <w:jc w:val="center"/>
      </w:pPr>
      <w:r>
        <w:rPr>
          <w:b/>
          <w:color w:val="17365D"/>
          <w:sz w:val="24"/>
        </w:rPr>
        <w:t>An AI incident is not closed when the system is restored. It is closed when the organisation has learned enough to reduce the likelihood and impact of recurrence.</w:t>
      </w:r>
    </w:p>
    <w:p>
      <w:pPr>
        <w:pStyle w:val="Heading1"/>
      </w:pPr>
      <w:r>
        <w:t>15. Incident Record Template</w:t>
      </w:r>
    </w:p>
    <w:tbl>
      <w:tblPr>
        <w:tblStyle w:val="TableGrid"/>
        <w:tblW w:type="auto" w:w="0"/>
        <w:jc w:val="center"/>
        <w:tblLook w:firstColumn="1" w:firstRow="1" w:lastColumn="0" w:lastRow="0" w:noHBand="0" w:noVBand="1" w:val="04A0"/>
      </w:tblPr>
      <w:tblGrid>
        <w:gridCol w:w="5083"/>
        <w:gridCol w:w="5083"/>
      </w:tblGrid>
      <w:tr>
        <w:tc>
          <w:tcPr>
            <w:tcW w:type="dxa" w:w="5083"/>
            <w:shd w:fill="17365D"/>
          </w:tcPr>
          <w:p>
            <w:r/>
            <w:r>
              <w:rPr>
                <w:rFonts w:ascii="Aptos" w:hAnsi="Aptos"/>
                <w:b/>
                <w:color w:val="FFFFFF"/>
                <w:sz w:val="18"/>
              </w:rPr>
              <w:t>Incident Field</w:t>
            </w:r>
          </w:p>
        </w:tc>
        <w:tc>
          <w:tcPr>
            <w:tcW w:type="dxa" w:w="5083"/>
            <w:shd w:fill="17365D"/>
          </w:tcPr>
          <w:p>
            <w:r/>
            <w:r>
              <w:rPr>
                <w:rFonts w:ascii="Aptos" w:hAnsi="Aptos"/>
                <w:b/>
                <w:color w:val="FFFFFF"/>
                <w:sz w:val="18"/>
              </w:rPr>
              <w:t>Record</w:t>
            </w:r>
          </w:p>
        </w:tc>
      </w:tr>
      <w:tr>
        <w:tc>
          <w:tcPr>
            <w:tcW w:type="dxa" w:w="5083"/>
          </w:tcPr>
          <w:p>
            <w:r/>
            <w:r>
              <w:rPr>
                <w:rFonts w:ascii="Aptos" w:hAnsi="Aptos"/>
                <w:b/>
                <w:sz w:val="18"/>
              </w:rPr>
              <w:t>Incident ID</w:t>
            </w:r>
          </w:p>
        </w:tc>
        <w:tc>
          <w:tcPr>
            <w:tcW w:type="dxa" w:w="5083"/>
          </w:tcPr>
          <w:p>
            <w:r/>
            <w:r>
              <w:rPr>
                <w:rFonts w:ascii="Aptos" w:hAnsi="Aptos"/>
                <w:b w:val="0"/>
                <w:sz w:val="18"/>
              </w:rPr>
              <w:t>[Complete]</w:t>
            </w:r>
          </w:p>
        </w:tc>
      </w:tr>
      <w:tr>
        <w:tc>
          <w:tcPr>
            <w:tcW w:type="dxa" w:w="5083"/>
          </w:tcPr>
          <w:p>
            <w:r/>
            <w:r>
              <w:rPr>
                <w:rFonts w:ascii="Aptos" w:hAnsi="Aptos"/>
                <w:b/>
                <w:sz w:val="18"/>
              </w:rPr>
              <w:t>Date / Time Detected</w:t>
            </w:r>
          </w:p>
        </w:tc>
        <w:tc>
          <w:tcPr>
            <w:tcW w:type="dxa" w:w="5083"/>
          </w:tcPr>
          <w:p>
            <w:r/>
            <w:r>
              <w:rPr>
                <w:rFonts w:ascii="Aptos" w:hAnsi="Aptos"/>
                <w:b w:val="0"/>
                <w:sz w:val="18"/>
              </w:rPr>
              <w:t>[Complete]</w:t>
            </w:r>
          </w:p>
        </w:tc>
      </w:tr>
      <w:tr>
        <w:tc>
          <w:tcPr>
            <w:tcW w:type="dxa" w:w="5083"/>
          </w:tcPr>
          <w:p>
            <w:r/>
            <w:r>
              <w:rPr>
                <w:rFonts w:ascii="Aptos" w:hAnsi="Aptos"/>
                <w:b/>
                <w:sz w:val="18"/>
              </w:rPr>
              <w:t>AI System / Use-Case ID</w:t>
            </w:r>
          </w:p>
        </w:tc>
        <w:tc>
          <w:tcPr>
            <w:tcW w:type="dxa" w:w="5083"/>
          </w:tcPr>
          <w:p>
            <w:r/>
            <w:r>
              <w:rPr>
                <w:rFonts w:ascii="Aptos" w:hAnsi="Aptos"/>
                <w:b w:val="0"/>
                <w:sz w:val="18"/>
              </w:rPr>
              <w:t>[Complete]</w:t>
            </w:r>
          </w:p>
        </w:tc>
      </w:tr>
      <w:tr>
        <w:tc>
          <w:tcPr>
            <w:tcW w:type="dxa" w:w="5083"/>
          </w:tcPr>
          <w:p>
            <w:r/>
            <w:r>
              <w:rPr>
                <w:rFonts w:ascii="Aptos" w:hAnsi="Aptos"/>
                <w:b/>
                <w:sz w:val="18"/>
              </w:rPr>
              <w:t>Reported By</w:t>
            </w:r>
          </w:p>
        </w:tc>
        <w:tc>
          <w:tcPr>
            <w:tcW w:type="dxa" w:w="5083"/>
          </w:tcPr>
          <w:p>
            <w:r/>
            <w:r>
              <w:rPr>
                <w:rFonts w:ascii="Aptos" w:hAnsi="Aptos"/>
                <w:b w:val="0"/>
                <w:sz w:val="18"/>
              </w:rPr>
              <w:t>[Complete]</w:t>
            </w:r>
          </w:p>
        </w:tc>
      </w:tr>
      <w:tr>
        <w:tc>
          <w:tcPr>
            <w:tcW w:type="dxa" w:w="5083"/>
          </w:tcPr>
          <w:p>
            <w:r/>
            <w:r>
              <w:rPr>
                <w:rFonts w:ascii="Aptos" w:hAnsi="Aptos"/>
                <w:b/>
                <w:sz w:val="18"/>
              </w:rPr>
              <w:t>Business Owner</w:t>
            </w:r>
          </w:p>
        </w:tc>
        <w:tc>
          <w:tcPr>
            <w:tcW w:type="dxa" w:w="5083"/>
          </w:tcPr>
          <w:p>
            <w:r/>
            <w:r>
              <w:rPr>
                <w:rFonts w:ascii="Aptos" w:hAnsi="Aptos"/>
                <w:b w:val="0"/>
                <w:sz w:val="18"/>
              </w:rPr>
              <w:t>[Complete]</w:t>
            </w:r>
          </w:p>
        </w:tc>
      </w:tr>
      <w:tr>
        <w:tc>
          <w:tcPr>
            <w:tcW w:type="dxa" w:w="5083"/>
          </w:tcPr>
          <w:p>
            <w:r/>
            <w:r>
              <w:rPr>
                <w:rFonts w:ascii="Aptos" w:hAnsi="Aptos"/>
                <w:b/>
                <w:sz w:val="18"/>
              </w:rPr>
              <w:t>Severity</w:t>
            </w:r>
          </w:p>
        </w:tc>
        <w:tc>
          <w:tcPr>
            <w:tcW w:type="dxa" w:w="5083"/>
          </w:tcPr>
          <w:p>
            <w:r/>
            <w:r>
              <w:rPr>
                <w:rFonts w:ascii="Aptos" w:hAnsi="Aptos"/>
                <w:b w:val="0"/>
                <w:sz w:val="18"/>
              </w:rPr>
              <w:t>[Complete]</w:t>
            </w:r>
          </w:p>
        </w:tc>
      </w:tr>
      <w:tr>
        <w:tc>
          <w:tcPr>
            <w:tcW w:type="dxa" w:w="5083"/>
          </w:tcPr>
          <w:p>
            <w:r/>
            <w:r>
              <w:rPr>
                <w:rFonts w:ascii="Aptos" w:hAnsi="Aptos"/>
                <w:b/>
                <w:sz w:val="18"/>
              </w:rPr>
              <w:t>Incident Description</w:t>
            </w:r>
          </w:p>
        </w:tc>
        <w:tc>
          <w:tcPr>
            <w:tcW w:type="dxa" w:w="5083"/>
          </w:tcPr>
          <w:p>
            <w:r/>
            <w:r>
              <w:rPr>
                <w:rFonts w:ascii="Aptos" w:hAnsi="Aptos"/>
                <w:b w:val="0"/>
                <w:sz w:val="18"/>
              </w:rPr>
              <w:t>[Complete]</w:t>
            </w:r>
          </w:p>
        </w:tc>
      </w:tr>
      <w:tr>
        <w:tc>
          <w:tcPr>
            <w:tcW w:type="dxa" w:w="5083"/>
          </w:tcPr>
          <w:p>
            <w:r/>
            <w:r>
              <w:rPr>
                <w:rFonts w:ascii="Aptos" w:hAnsi="Aptos"/>
                <w:b/>
                <w:sz w:val="18"/>
              </w:rPr>
              <w:t>Immediate Containment</w:t>
            </w:r>
          </w:p>
        </w:tc>
        <w:tc>
          <w:tcPr>
            <w:tcW w:type="dxa" w:w="5083"/>
          </w:tcPr>
          <w:p>
            <w:r/>
            <w:r>
              <w:rPr>
                <w:rFonts w:ascii="Aptos" w:hAnsi="Aptos"/>
                <w:b w:val="0"/>
                <w:sz w:val="18"/>
              </w:rPr>
              <w:t>[Complete]</w:t>
            </w:r>
          </w:p>
        </w:tc>
      </w:tr>
      <w:tr>
        <w:tc>
          <w:tcPr>
            <w:tcW w:type="dxa" w:w="5083"/>
          </w:tcPr>
          <w:p>
            <w:r/>
            <w:r>
              <w:rPr>
                <w:rFonts w:ascii="Aptos" w:hAnsi="Aptos"/>
                <w:b/>
                <w:sz w:val="18"/>
              </w:rPr>
              <w:t>Data / Systems / People Affected</w:t>
            </w:r>
          </w:p>
        </w:tc>
        <w:tc>
          <w:tcPr>
            <w:tcW w:type="dxa" w:w="5083"/>
          </w:tcPr>
          <w:p>
            <w:r/>
            <w:r>
              <w:rPr>
                <w:rFonts w:ascii="Aptos" w:hAnsi="Aptos"/>
                <w:b w:val="0"/>
                <w:sz w:val="18"/>
              </w:rPr>
              <w:t>[Complete]</w:t>
            </w:r>
          </w:p>
        </w:tc>
      </w:tr>
      <w:tr>
        <w:tc>
          <w:tcPr>
            <w:tcW w:type="dxa" w:w="5083"/>
          </w:tcPr>
          <w:p>
            <w:r/>
            <w:r>
              <w:rPr>
                <w:rFonts w:ascii="Aptos" w:hAnsi="Aptos"/>
                <w:b/>
                <w:sz w:val="18"/>
              </w:rPr>
              <w:t>Escalated To</w:t>
            </w:r>
          </w:p>
        </w:tc>
        <w:tc>
          <w:tcPr>
            <w:tcW w:type="dxa" w:w="5083"/>
          </w:tcPr>
          <w:p>
            <w:r/>
            <w:r>
              <w:rPr>
                <w:rFonts w:ascii="Aptos" w:hAnsi="Aptos"/>
                <w:b w:val="0"/>
                <w:sz w:val="18"/>
              </w:rPr>
              <w:t>[Complete]</w:t>
            </w:r>
          </w:p>
        </w:tc>
      </w:tr>
      <w:tr>
        <w:tc>
          <w:tcPr>
            <w:tcW w:type="dxa" w:w="5083"/>
          </w:tcPr>
          <w:p>
            <w:r/>
            <w:r>
              <w:rPr>
                <w:rFonts w:ascii="Aptos" w:hAnsi="Aptos"/>
                <w:b/>
                <w:sz w:val="18"/>
              </w:rPr>
              <w:t>Root Cause</w:t>
            </w:r>
          </w:p>
        </w:tc>
        <w:tc>
          <w:tcPr>
            <w:tcW w:type="dxa" w:w="5083"/>
          </w:tcPr>
          <w:p>
            <w:r/>
            <w:r>
              <w:rPr>
                <w:rFonts w:ascii="Aptos" w:hAnsi="Aptos"/>
                <w:b w:val="0"/>
                <w:sz w:val="18"/>
              </w:rPr>
              <w:t>[Complete]</w:t>
            </w:r>
          </w:p>
        </w:tc>
      </w:tr>
      <w:tr>
        <w:tc>
          <w:tcPr>
            <w:tcW w:type="dxa" w:w="5083"/>
          </w:tcPr>
          <w:p>
            <w:r/>
            <w:r>
              <w:rPr>
                <w:rFonts w:ascii="Aptos" w:hAnsi="Aptos"/>
                <w:b/>
                <w:sz w:val="18"/>
              </w:rPr>
              <w:t>Corrective Actions</w:t>
            </w:r>
          </w:p>
        </w:tc>
        <w:tc>
          <w:tcPr>
            <w:tcW w:type="dxa" w:w="5083"/>
          </w:tcPr>
          <w:p>
            <w:r/>
            <w:r>
              <w:rPr>
                <w:rFonts w:ascii="Aptos" w:hAnsi="Aptos"/>
                <w:b w:val="0"/>
                <w:sz w:val="18"/>
              </w:rPr>
              <w:t>[Complete]</w:t>
            </w:r>
          </w:p>
        </w:tc>
      </w:tr>
      <w:tr>
        <w:tc>
          <w:tcPr>
            <w:tcW w:type="dxa" w:w="5083"/>
          </w:tcPr>
          <w:p>
            <w:r/>
            <w:r>
              <w:rPr>
                <w:rFonts w:ascii="Aptos" w:hAnsi="Aptos"/>
                <w:b/>
                <w:sz w:val="18"/>
              </w:rPr>
              <w:t>Closure / Approval</w:t>
            </w:r>
          </w:p>
        </w:tc>
        <w:tc>
          <w:tcPr>
            <w:tcW w:type="dxa" w:w="5083"/>
          </w:tcPr>
          <w:p>
            <w:r/>
            <w:r>
              <w:rPr>
                <w:rFonts w:ascii="Aptos" w:hAnsi="Aptos"/>
                <w:b w:val="0"/>
                <w:sz w:val="18"/>
              </w:rPr>
              <w:t>[Complete]</w:t>
            </w:r>
          </w:p>
        </w:tc>
      </w:tr>
    </w:tbl>
    <w:p>
      <w:pPr>
        <w:pStyle w:val="Heading1"/>
      </w:pPr>
      <w:r>
        <w:t>16. Executive Incident Summary Template</w:t>
      </w:r>
    </w:p>
    <w:p>
      <w:r>
        <w:rPr>
          <w:b/>
        </w:rPr>
        <w:t xml:space="preserve">What happened: </w:t>
      </w:r>
      <w:r>
        <w:t>[Complete]</w:t>
      </w:r>
    </w:p>
    <w:p>
      <w:r>
        <w:rPr>
          <w:b/>
        </w:rPr>
        <w:t xml:space="preserve">Business impact: </w:t>
      </w:r>
      <w:r>
        <w:t>[Complete]</w:t>
      </w:r>
    </w:p>
    <w:p>
      <w:r>
        <w:rPr>
          <w:b/>
        </w:rPr>
        <w:t xml:space="preserve">Current status: </w:t>
      </w:r>
      <w:r>
        <w:t>[Complete]</w:t>
      </w:r>
    </w:p>
    <w:p>
      <w:r>
        <w:rPr>
          <w:b/>
        </w:rPr>
        <w:t xml:space="preserve">Customer / data impact: </w:t>
      </w:r>
      <w:r>
        <w:t>[Complete]</w:t>
      </w:r>
    </w:p>
    <w:p>
      <w:r>
        <w:rPr>
          <w:b/>
        </w:rPr>
        <w:t xml:space="preserve">Control failure: </w:t>
      </w:r>
      <w:r>
        <w:t>[Complete]</w:t>
      </w:r>
    </w:p>
    <w:p>
      <w:r>
        <w:rPr>
          <w:b/>
        </w:rPr>
        <w:t xml:space="preserve">Actions taken: </w:t>
      </w:r>
      <w:r>
        <w:t>[Complete]</w:t>
      </w:r>
    </w:p>
    <w:p>
      <w:r>
        <w:rPr>
          <w:b/>
        </w:rPr>
        <w:t xml:space="preserve">Residual risk: </w:t>
      </w:r>
      <w:r>
        <w:t>[Complete]</w:t>
      </w:r>
    </w:p>
    <w:p>
      <w:r>
        <w:rPr>
          <w:b/>
        </w:rPr>
        <w:t xml:space="preserve">Decisions required from executives: </w:t>
      </w:r>
      <w:r>
        <w:t>[Complete]</w:t>
      </w:r>
    </w:p>
    <w:p>
      <w:r>
        <w:rPr>
          <w:b/>
        </w:rPr>
        <w:t xml:space="preserve">Next update: </w:t>
      </w:r>
      <w:r>
        <w:t>[Complete]</w:t>
      </w:r>
    </w:p>
    <w:p>
      <w:pPr>
        <w:pStyle w:val="Heading1"/>
      </w:pPr>
      <w:r>
        <w:t>17. Procedure Review and Testing</w:t>
      </w:r>
    </w:p>
    <w:p>
      <w:pPr>
        <w:spacing w:after="100"/>
      </w:pPr>
      <w:r>
        <w:t>Test this procedure periodically through tabletop exercises or simulations, particularly for High and Critical AI use cases. Review it at least annually and after any material AI incident, significant technology change or governance change.</w:t>
      </w:r>
    </w:p>
    <w:p>
      <w:pPr>
        <w:pStyle w:val="Heading1"/>
      </w:pPr>
      <w:r>
        <w:t>18. Quick Reference - If AI Appears Out of Control</w:t>
      </w:r>
    </w:p>
    <w:tbl>
      <w:tblPr>
        <w:tblStyle w:val="TableGrid"/>
        <w:tblW w:type="auto" w:w="0"/>
        <w:jc w:val="center"/>
        <w:tblLook w:firstColumn="1" w:firstRow="1" w:lastColumn="0" w:lastRow="0" w:noHBand="0" w:noVBand="1" w:val="04A0"/>
      </w:tblPr>
      <w:tblGrid>
        <w:gridCol w:w="5083"/>
        <w:gridCol w:w="5083"/>
      </w:tblGrid>
      <w:tr>
        <w:tc>
          <w:tcPr>
            <w:tcW w:type="dxa" w:w="5083"/>
            <w:shd w:fill="17365D"/>
          </w:tcPr>
          <w:p>
            <w:r/>
            <w:r>
              <w:rPr>
                <w:rFonts w:ascii="Aptos" w:hAnsi="Aptos"/>
                <w:b/>
                <w:color w:val="FFFFFF"/>
                <w:sz w:val="18"/>
              </w:rPr>
              <w:t>Action</w:t>
            </w:r>
          </w:p>
        </w:tc>
        <w:tc>
          <w:tcPr>
            <w:tcW w:type="dxa" w:w="5083"/>
            <w:shd w:fill="17365D"/>
          </w:tcPr>
          <w:p>
            <w:r/>
            <w:r>
              <w:rPr>
                <w:rFonts w:ascii="Aptos" w:hAnsi="Aptos"/>
                <w:b/>
                <w:color w:val="FFFFFF"/>
                <w:sz w:val="18"/>
              </w:rPr>
              <w:t>What to do</w:t>
            </w:r>
          </w:p>
        </w:tc>
      </w:tr>
      <w:tr>
        <w:tc>
          <w:tcPr>
            <w:tcW w:type="dxa" w:w="5083"/>
          </w:tcPr>
          <w:p>
            <w:r/>
            <w:r>
              <w:rPr>
                <w:rFonts w:ascii="Aptos" w:hAnsi="Aptos"/>
                <w:b/>
                <w:sz w:val="18"/>
              </w:rPr>
              <w:t>1. STOP</w:t>
            </w:r>
          </w:p>
        </w:tc>
        <w:tc>
          <w:tcPr>
            <w:tcW w:type="dxa" w:w="5083"/>
          </w:tcPr>
          <w:p>
            <w:r/>
            <w:r>
              <w:rPr>
                <w:rFonts w:ascii="Aptos" w:hAnsi="Aptos"/>
                <w:b w:val="0"/>
                <w:sz w:val="18"/>
              </w:rPr>
              <w:t>Suspend the AI process or activate the approved stop mechanism.</w:t>
            </w:r>
          </w:p>
        </w:tc>
      </w:tr>
      <w:tr>
        <w:tc>
          <w:tcPr>
            <w:tcW w:type="dxa" w:w="5083"/>
          </w:tcPr>
          <w:p>
            <w:r/>
            <w:r>
              <w:rPr>
                <w:rFonts w:ascii="Aptos" w:hAnsi="Aptos"/>
                <w:b/>
                <w:sz w:val="18"/>
              </w:rPr>
              <w:t>2. ISOLATE</w:t>
            </w:r>
          </w:p>
        </w:tc>
        <w:tc>
          <w:tcPr>
            <w:tcW w:type="dxa" w:w="5083"/>
          </w:tcPr>
          <w:p>
            <w:r/>
            <w:r>
              <w:rPr>
                <w:rFonts w:ascii="Aptos" w:hAnsi="Aptos"/>
                <w:b w:val="0"/>
                <w:sz w:val="18"/>
              </w:rPr>
              <w:t>Restrict systems, credentials, tools, data and outbound actions.</w:t>
            </w:r>
          </w:p>
        </w:tc>
      </w:tr>
      <w:tr>
        <w:tc>
          <w:tcPr>
            <w:tcW w:type="dxa" w:w="5083"/>
          </w:tcPr>
          <w:p>
            <w:r/>
            <w:r>
              <w:rPr>
                <w:rFonts w:ascii="Aptos" w:hAnsi="Aptos"/>
                <w:b/>
                <w:sz w:val="18"/>
              </w:rPr>
              <w:t>3. PRESERVE</w:t>
            </w:r>
          </w:p>
        </w:tc>
        <w:tc>
          <w:tcPr>
            <w:tcW w:type="dxa" w:w="5083"/>
          </w:tcPr>
          <w:p>
            <w:r/>
            <w:r>
              <w:rPr>
                <w:rFonts w:ascii="Aptos" w:hAnsi="Aptos"/>
                <w:b w:val="0"/>
                <w:sz w:val="18"/>
              </w:rPr>
              <w:t>Capture logs, prompts, actions and evidence.</w:t>
            </w:r>
          </w:p>
        </w:tc>
      </w:tr>
      <w:tr>
        <w:tc>
          <w:tcPr>
            <w:tcW w:type="dxa" w:w="5083"/>
          </w:tcPr>
          <w:p>
            <w:r/>
            <w:r>
              <w:rPr>
                <w:rFonts w:ascii="Aptos" w:hAnsi="Aptos"/>
                <w:b/>
                <w:sz w:val="18"/>
              </w:rPr>
              <w:t>4. ESCALATE</w:t>
            </w:r>
          </w:p>
        </w:tc>
        <w:tc>
          <w:tcPr>
            <w:tcW w:type="dxa" w:w="5083"/>
          </w:tcPr>
          <w:p>
            <w:r/>
            <w:r>
              <w:rPr>
                <w:rFonts w:ascii="Aptos" w:hAnsi="Aptos"/>
                <w:b w:val="0"/>
                <w:sz w:val="18"/>
              </w:rPr>
              <w:t>Notify Security/Risk/Executive leadership immediately for High/Critical events.</w:t>
            </w:r>
          </w:p>
        </w:tc>
      </w:tr>
      <w:tr>
        <w:tc>
          <w:tcPr>
            <w:tcW w:type="dxa" w:w="5083"/>
          </w:tcPr>
          <w:p>
            <w:r/>
            <w:r>
              <w:rPr>
                <w:rFonts w:ascii="Aptos" w:hAnsi="Aptos"/>
                <w:b/>
                <w:sz w:val="18"/>
              </w:rPr>
              <w:t>5. VERIFY</w:t>
            </w:r>
          </w:p>
        </w:tc>
        <w:tc>
          <w:tcPr>
            <w:tcW w:type="dxa" w:w="5083"/>
          </w:tcPr>
          <w:p>
            <w:r/>
            <w:r>
              <w:rPr>
                <w:rFonts w:ascii="Aptos" w:hAnsi="Aptos"/>
                <w:b w:val="0"/>
                <w:sz w:val="18"/>
              </w:rPr>
              <w:t>Confirm what the AI actually did, not just what it reported doing.</w:t>
            </w:r>
          </w:p>
        </w:tc>
      </w:tr>
      <w:tr>
        <w:tc>
          <w:tcPr>
            <w:tcW w:type="dxa" w:w="5083"/>
          </w:tcPr>
          <w:p>
            <w:r/>
            <w:r>
              <w:rPr>
                <w:rFonts w:ascii="Aptos" w:hAnsi="Aptos"/>
                <w:b/>
                <w:sz w:val="18"/>
              </w:rPr>
              <w:t>6. DO NOT RESTART</w:t>
            </w:r>
          </w:p>
        </w:tc>
        <w:tc>
          <w:tcPr>
            <w:tcW w:type="dxa" w:w="5083"/>
          </w:tcPr>
          <w:p>
            <w:r/>
            <w:r>
              <w:rPr>
                <w:rFonts w:ascii="Aptos" w:hAnsi="Aptos"/>
                <w:b w:val="0"/>
                <w:sz w:val="18"/>
              </w:rPr>
              <w:t>Do not restore until risk, controls and approval have been reassessed.</w:t>
            </w:r>
          </w:p>
        </w:tc>
      </w:tr>
    </w:tbl>
    <w:p>
      <w:r>
        <w:rPr>
          <w:b/>
        </w:rPr>
        <w:t xml:space="preserve">Template note: </w:t>
      </w:r>
      <w:r>
        <w:t>Adapt escalation contacts, response targets and notification obligations to the organisation's sector, jurisdiction, existing cyber/privacy incident processes and risk appetite.</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AI Executive Governance Toolkit  |  AI Incident &amp; Escalation Procedure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806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